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海口市谭仙农产品加工产业园（一期）项目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2023年度绩效自评报告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95" w:right="0" w:rightChars="0"/>
        <w:textAlignment w:val="baseline"/>
        <w:rPr>
          <w:rFonts w:hint="eastAsia" w:asciiTheme="minorEastAsia" w:hAnsiTheme="minorEastAsia" w:eastAsiaTheme="minorEastAsia" w:cstheme="minorEastAsia"/>
          <w:spacing w:val="9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绩效目标分解下达情况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海口市谭仙农产品加工产业园（一期）项目位于海口市琼山区甲子镇，建设内容为市政道路、通关科研中心、新建污水处理厂等设施。其中市政道路共8条,总长4.774km,均为新建道路,红线宽度分别为17m和27m;科研中心总建筑面积32104.70m2,地上建筑面积25754.70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,地下建筑面积6350m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;新建污水处理厂,近期处理规模2350m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/d,远期污水处理厂规模扩容至4700m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/d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配套建设内容主要有场地平整工程、绿化工程以及智慧园区工程等。概算批复的总投资49393.59万元，其中工程费用38328.17万元，工程建设其他费8478.94万元（含暂估征地拆迁费4716.6万元，以市政府批复为准），预备费2104.53万元,建设单位管理费481.95万元。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（二）项目资金情况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该项目2023年共到位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专项债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万元，已全部使用完毕。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（三）项目偿债情况分析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1.偿债资金来源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建设内容为市政道路、通关科研中心、新建污水处理厂等设施。其中，市政道路共有8条，总长4.774km，均为新建道路，红线宽度分别为17m和27m；科研中心总建筑面积32104.70㎡，地上建筑面积25754.70㎡，地下建筑面积6350㎡；新建污水处理厂；配套建设内容主要有场地平整工程、绿化工程以及智慧园区工程等。项目投资概算为44,676.99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主要偿债资金来源为污水处理收入、垃圾处理收入、出租及物业收入、停车服务收入、科研产值收入、充电桩收入、供水收入及光伏发电收入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-SA"/>
        </w:rPr>
        <w:t xml:space="preserve">等经营性收入。  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2.项目偿债能力分析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本项目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污水处理收入、垃圾处理收入、出租及物业收入、停车服务收入、科研产值收入、充电桩收入、供水收入及光伏发电收入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-SA"/>
        </w:rPr>
        <w:t>等经营性收入作为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偿债收益来源，能够确保融资与收益平衡，项目偿付债务本息能力较好。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3.偿债风险指标</w:t>
      </w:r>
    </w:p>
    <w:p>
      <w:pPr>
        <w:spacing w:line="580" w:lineRule="exact"/>
        <w:ind w:left="7" w:firstLine="617" w:firstLineChars="193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经计算，本息覆盖倍数为1.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-SA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，按照预计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经营性收入和成本费用，在项目存续期间有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en-US" w:bidi="ar-SA"/>
        </w:rPr>
        <w:t>稳定的收入，可稳定覆盖债券存续期间各年利息及到期偿还本金的支出需求，因此，本期专项债项目资金稳定性较可靠。预计与债券相关的项目收益能够合理保障偿还债券本金及利息，实现项目收益和融资自求平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绩效情况分析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7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</w:rPr>
        <w:t>资金投入情况分析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该项目</w:t>
      </w:r>
      <w:bookmarkStart w:id="0" w:name="_Hlk167981178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2023年共到位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专项债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22400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万元。在项目资金使用上，业主单位严格执行政府投资项目和资金管理办法，严格落实资金审批程序，加快资金拨付，全面保障项目建设资金用款需要。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7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（二）资金管理情况分析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该项目2023年共到位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专项债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22400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万元，已全部使用完毕。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27" w:firstLineChars="200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（三）总体绩效目标完成情况分析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项目年度目标为：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项目2023年的施工计划是施工单位完成主管道及加压泵站的建设任务。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项目年度完成情况：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项目2023年底已完成施工单位进主管道及加压泵站建设工作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已完成年度目标。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7" w:firstLineChars="200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（四）绩效指标完成情况分析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1.产出指标：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科研楼、通关中心、后勤中心、8条市政道路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主体结构完成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数量：目标：=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完成情况：科研楼、通关中心、后勤中心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等楼栋主体结构封顶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、8条市政道路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主体结构完成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质量指标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项目验收合格率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100%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完成情况：实际完成值100%。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right="0" w:rightChars="0" w:hanging="425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时效指标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：项目完工及时率100%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完成情况：实际完成值100%。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成本指标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超概算比例目标：≤5%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完成情况：未超出概算批复。完成目标绩效。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2.效益指标：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(1)社会效益指标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：项目受益人数≥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完成情况：项目周边群众收益，受益人数已超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人。完成目标绩效。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(2)施工扬尘污染次数:0次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完成目标绩效。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3.满意度指标：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目标：受益群体满意度≥9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完成情况：未发现受益群众不满意情况。完成目标绩效。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偏离绩效目标的原因和下一步改进措施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暂无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绩效自评结果拟应用和公开情况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拟将绩效自评结果用于后续对建设、施工等单位的履职尽责及专业胜任能力的考核，可作为后续相关合作的考虑因素。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其他需要说明的问题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暂无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 xml:space="preserve"> 附件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海口市谭仙农产品加工产业园（一期）项目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绩效自评表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 xml:space="preserve">                        海口市琼山区农业农村局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 xml:space="preserve">                              2024年6月13日</w:t>
      </w:r>
    </w:p>
    <w:sectPr>
      <w:pgSz w:w="11900" w:h="16830"/>
      <w:pgMar w:top="2098" w:right="1474" w:bottom="1984" w:left="1588" w:header="0" w:footer="0" w:gutter="0"/>
      <w:cols w:equalWidth="0" w:num="1">
        <w:col w:w="833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1A6B"/>
    <w:multiLevelType w:val="singleLevel"/>
    <w:tmpl w:val="17A91A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5D1475"/>
    <w:multiLevelType w:val="singleLevel"/>
    <w:tmpl w:val="675D147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ABC404D"/>
    <w:rsid w:val="0F7C3C67"/>
    <w:rsid w:val="23D86BA2"/>
    <w:rsid w:val="43026B82"/>
    <w:rsid w:val="4D086E68"/>
    <w:rsid w:val="73C45998"/>
    <w:rsid w:val="78BD0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643"/>
    </w:pPr>
    <w:rPr>
      <w:rFonts w:ascii="黑体" w:hAnsi="黑体" w:eastAsia="黑体"/>
      <w:b/>
      <w:kern w:val="4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964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Normal (Web)"/>
    <w:basedOn w:val="1"/>
    <w:qFormat/>
    <w:uiPriority w:val="0"/>
    <w:rPr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2024-05-30T10:43:00Z</dcterms:created>
  <dc:creator>Administrator</dc:creator>
  <cp:lastModifiedBy>Jimmy明</cp:lastModifiedBy>
  <dcterms:modified xsi:type="dcterms:W3CDTF">2024-06-14T09:41:32Z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2024-05-30T10:43:15Z</vt:filetime>
  </property>
  <property fmtid="{D5CDD505-2E9C-101B-9397-08002B2CF9AE}" pid="4" name="UsrData">
    <vt:lpwstr>6657e7c0945f48001f6d99cawl</vt:lpwstr>
  </property>
  <property fmtid="{D5CDD505-2E9C-101B-9397-08002B2CF9AE}" pid="5" name="KSOProductBuildVer">
    <vt:lpwstr>2052-11.8.2.8875</vt:lpwstr>
  </property>
  <property fmtid="{D5CDD505-2E9C-101B-9397-08002B2CF9AE}" pid="6" name="ICV">
    <vt:lpwstr>0D6D6F549C3346BCB7F6B450A91B54D0</vt:lpwstr>
  </property>
</Properties>
</file>